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C7" w:rsidRDefault="00E930C7" w:rsidP="00235D38">
      <w:pPr>
        <w:rPr>
          <w:b/>
          <w:lang w:val="it-IT"/>
        </w:rPr>
      </w:pPr>
    </w:p>
    <w:p w:rsidR="00397BF7" w:rsidRDefault="00235D38" w:rsidP="002B1B10">
      <w:pPr>
        <w:jc w:val="both"/>
        <w:rPr>
          <w:b/>
          <w:lang w:val="it-IT"/>
        </w:rPr>
      </w:pPr>
      <w:r>
        <w:rPr>
          <w:b/>
          <w:lang w:val="it-IT"/>
        </w:rPr>
        <w:t xml:space="preserve">Insegnamento: </w:t>
      </w:r>
      <w:r w:rsidRPr="00235D38">
        <w:rPr>
          <w:b/>
          <w:lang w:val="it-IT"/>
        </w:rPr>
        <w:t>Settore pubblico e non profit</w:t>
      </w:r>
    </w:p>
    <w:tbl>
      <w:tblPr>
        <w:tblStyle w:val="Grigliatabella"/>
        <w:tblW w:w="9995" w:type="dxa"/>
        <w:tblLook w:val="04A0"/>
      </w:tblPr>
      <w:tblGrid>
        <w:gridCol w:w="3263"/>
        <w:gridCol w:w="3366"/>
        <w:gridCol w:w="3366"/>
      </w:tblGrid>
      <w:tr w:rsidR="00235D38" w:rsidTr="0087410C">
        <w:trPr>
          <w:trHeight w:val="340"/>
        </w:trPr>
        <w:tc>
          <w:tcPr>
            <w:tcW w:w="3263" w:type="dxa"/>
            <w:vAlign w:val="center"/>
          </w:tcPr>
          <w:p w:rsidR="00235D38" w:rsidRDefault="00235D38" w:rsidP="0087410C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3366" w:type="dxa"/>
            <w:vAlign w:val="center"/>
          </w:tcPr>
          <w:p w:rsidR="00235D38" w:rsidRDefault="00235D38" w:rsidP="0087410C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Italiano</w:t>
            </w:r>
          </w:p>
        </w:tc>
        <w:tc>
          <w:tcPr>
            <w:tcW w:w="3366" w:type="dxa"/>
            <w:vAlign w:val="center"/>
          </w:tcPr>
          <w:p w:rsidR="00235D38" w:rsidRDefault="00235D38" w:rsidP="0087410C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English</w:t>
            </w:r>
          </w:p>
        </w:tc>
      </w:tr>
      <w:tr w:rsidR="00235D38" w:rsidRPr="00F62010" w:rsidTr="0087410C">
        <w:trPr>
          <w:trHeight w:val="340"/>
        </w:trPr>
        <w:tc>
          <w:tcPr>
            <w:tcW w:w="3263" w:type="dxa"/>
          </w:tcPr>
          <w:p w:rsidR="00235D38" w:rsidRDefault="00235D38" w:rsidP="00085C4C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Docente/</w:t>
            </w:r>
            <w:proofErr w:type="spellStart"/>
            <w:r>
              <w:rPr>
                <w:b/>
                <w:lang w:val="it-IT"/>
              </w:rPr>
              <w:t>Instructor</w:t>
            </w:r>
            <w:proofErr w:type="spellEnd"/>
            <w:r>
              <w:rPr>
                <w:b/>
                <w:lang w:val="it-IT"/>
              </w:rPr>
              <w:t xml:space="preserve"> </w:t>
            </w:r>
          </w:p>
        </w:tc>
        <w:tc>
          <w:tcPr>
            <w:tcW w:w="3366" w:type="dxa"/>
            <w:vAlign w:val="center"/>
          </w:tcPr>
          <w:p w:rsidR="00235D38" w:rsidRPr="00EE5C6E" w:rsidRDefault="00235D38" w:rsidP="00085C4C">
            <w:pPr>
              <w:jc w:val="center"/>
              <w:rPr>
                <w:lang w:val="it-IT"/>
              </w:rPr>
            </w:pPr>
            <w:r w:rsidRPr="00EE5C6E">
              <w:rPr>
                <w:lang w:val="it-IT"/>
              </w:rPr>
              <w:t>Montrone/Bartocci/Picciaia</w:t>
            </w:r>
          </w:p>
        </w:tc>
        <w:tc>
          <w:tcPr>
            <w:tcW w:w="3366" w:type="dxa"/>
            <w:vAlign w:val="center"/>
          </w:tcPr>
          <w:p w:rsidR="00235D38" w:rsidRPr="00EE5C6E" w:rsidRDefault="00235D38" w:rsidP="00085C4C">
            <w:pPr>
              <w:jc w:val="center"/>
              <w:rPr>
                <w:lang w:val="it-IT"/>
              </w:rPr>
            </w:pPr>
            <w:r w:rsidRPr="00EE5C6E">
              <w:rPr>
                <w:lang w:val="it-IT"/>
              </w:rPr>
              <w:t>Montrone/Bartocci/Picciaia</w:t>
            </w:r>
          </w:p>
        </w:tc>
      </w:tr>
      <w:tr w:rsidR="00235D38" w:rsidRPr="00F62010" w:rsidTr="0087410C">
        <w:trPr>
          <w:trHeight w:val="340"/>
        </w:trPr>
        <w:tc>
          <w:tcPr>
            <w:tcW w:w="3263" w:type="dxa"/>
          </w:tcPr>
          <w:p w:rsidR="00235D38" w:rsidRDefault="00235D38" w:rsidP="00085C4C">
            <w:pPr>
              <w:jc w:val="both"/>
              <w:rPr>
                <w:b/>
                <w:lang w:val="it-IT"/>
              </w:rPr>
            </w:pPr>
            <w:r w:rsidRPr="00857388">
              <w:rPr>
                <w:rFonts w:ascii="∞‡˙ø◊˜‚" w:hAnsi="∞‡˙ø◊˜‚" w:cs="∞‡˙ø◊˜‚"/>
                <w:b/>
              </w:rPr>
              <w:t xml:space="preserve"> (</w:t>
            </w:r>
            <w:r>
              <w:rPr>
                <w:rFonts w:ascii="∞‡˙ø◊˜‚" w:hAnsi="∞‡˙ø◊˜‚" w:cs="∞‡˙ø◊˜‚"/>
                <w:b/>
              </w:rPr>
              <w:t>18</w:t>
            </w:r>
            <w:r w:rsidRPr="00857388">
              <w:rPr>
                <w:rFonts w:ascii="∞‡˙ø◊˜‚" w:hAnsi="∞‡˙ø◊˜‚" w:cs="∞‡˙ø◊˜‚"/>
                <w:b/>
              </w:rPr>
              <w:t xml:space="preserve"> </w:t>
            </w:r>
            <w:r w:rsidRPr="00857388">
              <w:rPr>
                <w:rFonts w:ascii="∞‡˙ø◊˜‚" w:hAnsi="∞‡˙ø◊˜‚" w:cs="∞‡˙ø◊˜‚"/>
                <w:b/>
                <w:sz w:val="19"/>
                <w:szCs w:val="19"/>
              </w:rPr>
              <w:t xml:space="preserve">ORE </w:t>
            </w:r>
            <w:r w:rsidRPr="00857388">
              <w:rPr>
                <w:rFonts w:ascii="∞‡˙ø◊˜‚" w:hAnsi="∞‡˙ø◊˜‚" w:cs="∞‡˙ø◊˜‚"/>
                <w:b/>
              </w:rPr>
              <w:t xml:space="preserve">/ </w:t>
            </w:r>
            <w:r>
              <w:rPr>
                <w:rFonts w:ascii="∞‡˙ø◊˜‚" w:hAnsi="∞‡˙ø◊˜‚" w:cs="∞‡˙ø◊˜‚"/>
                <w:b/>
              </w:rPr>
              <w:t>18</w:t>
            </w:r>
            <w:r w:rsidRPr="00857388">
              <w:rPr>
                <w:rFonts w:ascii="∞‡˙ø◊˜‚" w:hAnsi="∞‡˙ø◊˜‚" w:cs="∞‡˙ø◊˜‚"/>
                <w:b/>
              </w:rPr>
              <w:t xml:space="preserve"> </w:t>
            </w:r>
            <w:r w:rsidRPr="00857388">
              <w:rPr>
                <w:rFonts w:ascii="∞‡˙ø◊˜‚" w:hAnsi="∞‡˙ø◊˜‚" w:cs="∞‡˙ø◊˜‚"/>
                <w:b/>
                <w:sz w:val="19"/>
                <w:szCs w:val="19"/>
              </w:rPr>
              <w:t>HOURS</w:t>
            </w:r>
            <w:r w:rsidRPr="00857388">
              <w:rPr>
                <w:rFonts w:ascii="∞‡˙ø◊˜‚" w:hAnsi="∞‡˙ø◊˜‚" w:cs="∞‡˙ø◊˜‚"/>
                <w:b/>
              </w:rPr>
              <w:t>)</w:t>
            </w:r>
          </w:p>
        </w:tc>
        <w:tc>
          <w:tcPr>
            <w:tcW w:w="3366" w:type="dxa"/>
            <w:vAlign w:val="center"/>
          </w:tcPr>
          <w:p w:rsidR="00235D38" w:rsidRPr="00EE5C6E" w:rsidRDefault="00235D38" w:rsidP="00085C4C">
            <w:pPr>
              <w:jc w:val="center"/>
              <w:rPr>
                <w:lang w:val="it-IT"/>
              </w:rPr>
            </w:pPr>
            <w:r w:rsidRPr="00EE5C6E">
              <w:rPr>
                <w:lang w:val="it-IT"/>
              </w:rPr>
              <w:t>Settore pubblico e non profit</w:t>
            </w:r>
          </w:p>
        </w:tc>
        <w:tc>
          <w:tcPr>
            <w:tcW w:w="3366" w:type="dxa"/>
            <w:vAlign w:val="center"/>
          </w:tcPr>
          <w:p w:rsidR="00235D38" w:rsidRPr="00EE5C6E" w:rsidRDefault="00235D38" w:rsidP="00085C4C">
            <w:pPr>
              <w:jc w:val="center"/>
            </w:pPr>
            <w:r w:rsidRPr="00EE5C6E">
              <w:t>Public and non-profit sectors</w:t>
            </w:r>
          </w:p>
        </w:tc>
      </w:tr>
      <w:tr w:rsidR="00235D38" w:rsidRPr="00F62010" w:rsidTr="0087410C">
        <w:trPr>
          <w:trHeight w:val="340"/>
        </w:trPr>
        <w:tc>
          <w:tcPr>
            <w:tcW w:w="3263" w:type="dxa"/>
          </w:tcPr>
          <w:p w:rsidR="00235D38" w:rsidRDefault="00235D38" w:rsidP="00085C4C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Contenuti/</w:t>
            </w:r>
            <w:proofErr w:type="spellStart"/>
            <w:r>
              <w:rPr>
                <w:b/>
                <w:lang w:val="it-IT"/>
              </w:rPr>
              <w:t>Contents</w:t>
            </w:r>
            <w:proofErr w:type="spellEnd"/>
          </w:p>
          <w:p w:rsidR="00235D38" w:rsidRDefault="00235D38" w:rsidP="00085C4C">
            <w:pPr>
              <w:jc w:val="both"/>
              <w:rPr>
                <w:b/>
                <w:lang w:val="it-IT"/>
              </w:rPr>
            </w:pPr>
          </w:p>
        </w:tc>
        <w:tc>
          <w:tcPr>
            <w:tcW w:w="3366" w:type="dxa"/>
          </w:tcPr>
          <w:p w:rsidR="00235D38" w:rsidRPr="00EE5C6E" w:rsidRDefault="00235D38" w:rsidP="00085C4C">
            <w:pPr>
              <w:rPr>
                <w:lang w:val="it-IT"/>
              </w:rPr>
            </w:pPr>
            <w:r w:rsidRPr="00EE5C6E">
              <w:rPr>
                <w:lang w:val="it-IT"/>
              </w:rPr>
              <w:t xml:space="preserve">Contabilità e accountability nel settore pubblico </w:t>
            </w:r>
          </w:p>
          <w:p w:rsidR="00235D38" w:rsidRPr="00EE5C6E" w:rsidRDefault="00235D38" w:rsidP="00085C4C">
            <w:pPr>
              <w:pStyle w:val="Paragrafoelenco"/>
              <w:numPr>
                <w:ilvl w:val="0"/>
                <w:numId w:val="7"/>
              </w:numPr>
              <w:ind w:left="281" w:hanging="142"/>
              <w:rPr>
                <w:sz w:val="20"/>
                <w:lang w:val="it-IT"/>
              </w:rPr>
            </w:pPr>
            <w:r w:rsidRPr="00EE5C6E">
              <w:rPr>
                <w:sz w:val="20"/>
                <w:lang w:val="it-IT"/>
              </w:rPr>
              <w:t>I bilanci pubblici tra vecchi e nuovi paradigmi della Pubblica Amministrazione</w:t>
            </w:r>
          </w:p>
          <w:p w:rsidR="00235D38" w:rsidRPr="00EE5C6E" w:rsidRDefault="00235D38" w:rsidP="00085C4C">
            <w:pPr>
              <w:pStyle w:val="Paragrafoelenco"/>
              <w:numPr>
                <w:ilvl w:val="0"/>
                <w:numId w:val="7"/>
              </w:numPr>
              <w:ind w:left="281" w:hanging="142"/>
              <w:rPr>
                <w:sz w:val="20"/>
                <w:lang w:val="it-IT"/>
              </w:rPr>
            </w:pPr>
            <w:r w:rsidRPr="00EE5C6E">
              <w:rPr>
                <w:sz w:val="20"/>
                <w:lang w:val="it-IT"/>
              </w:rPr>
              <w:t>I principi contabili nazionali e internazionali</w:t>
            </w:r>
          </w:p>
          <w:p w:rsidR="00235D38" w:rsidRPr="00EE5C6E" w:rsidRDefault="00235D38" w:rsidP="00085C4C">
            <w:pPr>
              <w:pStyle w:val="Paragrafoelenco"/>
              <w:numPr>
                <w:ilvl w:val="0"/>
                <w:numId w:val="7"/>
              </w:numPr>
              <w:spacing w:after="120"/>
              <w:ind w:left="284" w:hanging="142"/>
              <w:rPr>
                <w:sz w:val="20"/>
                <w:lang w:val="it-IT"/>
              </w:rPr>
            </w:pPr>
            <w:r w:rsidRPr="00EE5C6E">
              <w:rPr>
                <w:sz w:val="20"/>
                <w:lang w:val="it-IT"/>
              </w:rPr>
              <w:t>L’accountability nei sistemi di governance orizzontale</w:t>
            </w:r>
          </w:p>
          <w:p w:rsidR="0052438E" w:rsidRPr="00EE5C6E" w:rsidRDefault="0052438E" w:rsidP="00085C4C">
            <w:pPr>
              <w:spacing w:after="120"/>
              <w:ind w:left="35"/>
              <w:contextualSpacing/>
              <w:rPr>
                <w:shd w:val="clear" w:color="auto" w:fill="FFFFFF"/>
                <w:lang w:val="it-IT"/>
              </w:rPr>
            </w:pPr>
            <w:r w:rsidRPr="00EE5C6E">
              <w:rPr>
                <w:shd w:val="clear" w:color="auto" w:fill="FFFFFF"/>
                <w:lang w:val="it-IT"/>
              </w:rPr>
              <w:t>Il bilancio delle aziende sanitarie pubbliche e la sua analisi</w:t>
            </w:r>
          </w:p>
          <w:p w:rsidR="0052438E" w:rsidRPr="0087410C" w:rsidRDefault="0052438E" w:rsidP="00085C4C">
            <w:pPr>
              <w:spacing w:after="120"/>
              <w:ind w:left="35"/>
              <w:contextualSpacing/>
              <w:rPr>
                <w:sz w:val="12"/>
                <w:lang w:val="it-IT"/>
              </w:rPr>
            </w:pPr>
          </w:p>
          <w:p w:rsidR="00235D38" w:rsidRPr="00EE5C6E" w:rsidRDefault="00235D38" w:rsidP="00085C4C">
            <w:pPr>
              <w:spacing w:after="120"/>
              <w:ind w:left="35"/>
              <w:contextualSpacing/>
              <w:rPr>
                <w:sz w:val="20"/>
                <w:lang w:val="it-IT"/>
              </w:rPr>
            </w:pPr>
            <w:r w:rsidRPr="00EE5C6E">
              <w:rPr>
                <w:lang w:val="it-IT"/>
              </w:rPr>
              <w:t>La revision</w:t>
            </w:r>
            <w:r w:rsidR="0052438E" w:rsidRPr="00EE5C6E">
              <w:rPr>
                <w:lang w:val="it-IT"/>
              </w:rPr>
              <w:t>e contabile negli enti locali</w:t>
            </w:r>
          </w:p>
          <w:p w:rsidR="00235D38" w:rsidRPr="00EE5C6E" w:rsidRDefault="00235D38" w:rsidP="00085C4C">
            <w:pPr>
              <w:spacing w:after="120"/>
              <w:ind w:left="35"/>
              <w:contextualSpacing/>
              <w:rPr>
                <w:sz w:val="12"/>
                <w:lang w:val="it-IT"/>
              </w:rPr>
            </w:pPr>
          </w:p>
          <w:p w:rsidR="00235D38" w:rsidRPr="00EE5C6E" w:rsidRDefault="00235D38" w:rsidP="00085C4C">
            <w:pPr>
              <w:rPr>
                <w:lang w:val="it-IT"/>
              </w:rPr>
            </w:pPr>
            <w:r w:rsidRPr="00EE5C6E">
              <w:rPr>
                <w:lang w:val="it-IT"/>
              </w:rPr>
              <w:t>Le interazioni tra settore pubblico e organizzazioni non profit</w:t>
            </w:r>
          </w:p>
          <w:p w:rsidR="00235D38" w:rsidRPr="00EE5C6E" w:rsidRDefault="00235D38" w:rsidP="00085C4C">
            <w:pPr>
              <w:pStyle w:val="Paragrafoelenco"/>
              <w:numPr>
                <w:ilvl w:val="0"/>
                <w:numId w:val="7"/>
              </w:numPr>
              <w:ind w:left="284" w:hanging="142"/>
              <w:rPr>
                <w:sz w:val="20"/>
                <w:lang w:val="it-IT"/>
              </w:rPr>
            </w:pPr>
            <w:r w:rsidRPr="00EE5C6E">
              <w:rPr>
                <w:sz w:val="20"/>
                <w:lang w:val="it-IT"/>
              </w:rPr>
              <w:t>Le organizzazioni non profit in una prospettiva economico-aziendale</w:t>
            </w:r>
          </w:p>
          <w:p w:rsidR="00D905B8" w:rsidRPr="00EE5C6E" w:rsidRDefault="00D905B8" w:rsidP="00085C4C">
            <w:pPr>
              <w:pStyle w:val="Paragrafoelenco"/>
              <w:numPr>
                <w:ilvl w:val="0"/>
                <w:numId w:val="7"/>
              </w:numPr>
              <w:ind w:left="284" w:hanging="142"/>
              <w:rPr>
                <w:sz w:val="20"/>
                <w:lang w:val="it-IT"/>
              </w:rPr>
            </w:pPr>
            <w:r w:rsidRPr="00EE5C6E">
              <w:rPr>
                <w:sz w:val="20"/>
                <w:lang w:val="it-IT"/>
              </w:rPr>
              <w:t>Definizione di terzo settore in Europa</w:t>
            </w:r>
          </w:p>
          <w:p w:rsidR="00235D38" w:rsidRPr="00EE5C6E" w:rsidRDefault="00235D38" w:rsidP="00085C4C">
            <w:pPr>
              <w:pStyle w:val="Paragrafoelenco"/>
              <w:numPr>
                <w:ilvl w:val="0"/>
                <w:numId w:val="7"/>
              </w:numPr>
              <w:spacing w:after="120"/>
              <w:ind w:left="284" w:hanging="142"/>
              <w:rPr>
                <w:sz w:val="20"/>
                <w:lang w:val="it-IT"/>
              </w:rPr>
            </w:pPr>
            <w:r w:rsidRPr="00EE5C6E">
              <w:rPr>
                <w:sz w:val="20"/>
                <w:lang w:val="it-IT"/>
              </w:rPr>
              <w:t>Le forme di co-produzione dei servizi pubblici</w:t>
            </w:r>
          </w:p>
        </w:tc>
        <w:tc>
          <w:tcPr>
            <w:tcW w:w="3366" w:type="dxa"/>
          </w:tcPr>
          <w:p w:rsidR="00235D38" w:rsidRPr="00EE5C6E" w:rsidRDefault="00235D38" w:rsidP="00085C4C">
            <w:r w:rsidRPr="00EE5C6E">
              <w:t xml:space="preserve">Public sector accounting and accountability </w:t>
            </w:r>
          </w:p>
          <w:p w:rsidR="00235D38" w:rsidRPr="00EE5C6E" w:rsidRDefault="00235D38" w:rsidP="00085C4C">
            <w:pPr>
              <w:pStyle w:val="Paragrafoelenco"/>
              <w:numPr>
                <w:ilvl w:val="0"/>
                <w:numId w:val="7"/>
              </w:numPr>
              <w:ind w:left="281" w:hanging="142"/>
              <w:rPr>
                <w:sz w:val="20"/>
              </w:rPr>
            </w:pPr>
            <w:r w:rsidRPr="00EE5C6E">
              <w:rPr>
                <w:sz w:val="20"/>
              </w:rPr>
              <w:t>Budgeting and reporting between old and new paradigms of PA</w:t>
            </w:r>
          </w:p>
          <w:p w:rsidR="00235D38" w:rsidRPr="00EE5C6E" w:rsidRDefault="00235D38" w:rsidP="00085C4C">
            <w:pPr>
              <w:pStyle w:val="Paragrafoelenco"/>
              <w:numPr>
                <w:ilvl w:val="0"/>
                <w:numId w:val="7"/>
              </w:numPr>
              <w:ind w:left="281" w:hanging="142"/>
              <w:rPr>
                <w:sz w:val="20"/>
              </w:rPr>
            </w:pPr>
            <w:r w:rsidRPr="00EE5C6E">
              <w:rPr>
                <w:sz w:val="20"/>
              </w:rPr>
              <w:t>National and international accounting standards</w:t>
            </w:r>
          </w:p>
          <w:p w:rsidR="00235D38" w:rsidRPr="00EE5C6E" w:rsidRDefault="00235D38" w:rsidP="00085C4C">
            <w:pPr>
              <w:pStyle w:val="Paragrafoelenco"/>
              <w:numPr>
                <w:ilvl w:val="0"/>
                <w:numId w:val="7"/>
              </w:numPr>
              <w:spacing w:after="120"/>
              <w:ind w:left="284" w:hanging="142"/>
              <w:rPr>
                <w:sz w:val="20"/>
              </w:rPr>
            </w:pPr>
            <w:r w:rsidRPr="00EE5C6E">
              <w:rPr>
                <w:sz w:val="20"/>
              </w:rPr>
              <w:t>Accountability and new horizontal governance systems</w:t>
            </w:r>
          </w:p>
          <w:p w:rsidR="0052438E" w:rsidRPr="00EE5C6E" w:rsidRDefault="0052438E" w:rsidP="0052438E">
            <w:pPr>
              <w:spacing w:after="120"/>
              <w:ind w:left="35"/>
              <w:contextualSpacing/>
              <w:rPr>
                <w:shd w:val="clear" w:color="auto" w:fill="FFFFFF"/>
                <w:lang/>
              </w:rPr>
            </w:pPr>
            <w:r w:rsidRPr="00EE5C6E">
              <w:rPr>
                <w:lang/>
              </w:rPr>
              <w:t>The financial statements of the public health authorities and their analysis</w:t>
            </w:r>
          </w:p>
          <w:p w:rsidR="0052438E" w:rsidRPr="00EE5C6E" w:rsidRDefault="0052438E" w:rsidP="00085C4C">
            <w:pPr>
              <w:spacing w:after="120"/>
              <w:ind w:left="35"/>
              <w:contextualSpacing/>
            </w:pPr>
          </w:p>
          <w:p w:rsidR="00235D38" w:rsidRPr="00EE5C6E" w:rsidRDefault="0052438E" w:rsidP="00085C4C">
            <w:pPr>
              <w:spacing w:after="120"/>
              <w:ind w:left="35"/>
              <w:contextualSpacing/>
              <w:rPr>
                <w:sz w:val="20"/>
              </w:rPr>
            </w:pPr>
            <w:r w:rsidRPr="00EE5C6E">
              <w:t>Local authorities</w:t>
            </w:r>
            <w:r w:rsidR="00235D38" w:rsidRPr="00EE5C6E">
              <w:t xml:space="preserve"> auditing</w:t>
            </w:r>
          </w:p>
          <w:p w:rsidR="00235D38" w:rsidRPr="00EE5C6E" w:rsidRDefault="00235D38" w:rsidP="00085C4C">
            <w:pPr>
              <w:spacing w:after="120"/>
              <w:ind w:left="35"/>
              <w:contextualSpacing/>
              <w:rPr>
                <w:sz w:val="12"/>
              </w:rPr>
            </w:pPr>
          </w:p>
          <w:p w:rsidR="00235D38" w:rsidRPr="00EE5C6E" w:rsidRDefault="00235D38" w:rsidP="00085C4C">
            <w:pPr>
              <w:spacing w:after="120"/>
              <w:ind w:left="35"/>
              <w:contextualSpacing/>
              <w:rPr>
                <w:sz w:val="12"/>
              </w:rPr>
            </w:pPr>
          </w:p>
          <w:p w:rsidR="00235D38" w:rsidRPr="00EE5C6E" w:rsidRDefault="00235D38" w:rsidP="00085C4C">
            <w:pPr>
              <w:spacing w:after="120"/>
              <w:ind w:left="35"/>
              <w:contextualSpacing/>
              <w:rPr>
                <w:sz w:val="12"/>
              </w:rPr>
            </w:pPr>
          </w:p>
          <w:p w:rsidR="00235D38" w:rsidRPr="00EE5C6E" w:rsidRDefault="00235D38" w:rsidP="00085C4C">
            <w:r w:rsidRPr="00EE5C6E">
              <w:t>Interactions between public sector and non-profit organizations</w:t>
            </w:r>
          </w:p>
          <w:p w:rsidR="00235D38" w:rsidRPr="00EE5C6E" w:rsidRDefault="00235D38" w:rsidP="00085C4C">
            <w:pPr>
              <w:pStyle w:val="Paragrafoelenco"/>
              <w:numPr>
                <w:ilvl w:val="0"/>
                <w:numId w:val="7"/>
              </w:numPr>
              <w:ind w:left="319" w:hanging="142"/>
              <w:rPr>
                <w:sz w:val="20"/>
                <w:lang w:val="it-IT"/>
              </w:rPr>
            </w:pPr>
            <w:r w:rsidRPr="00EE5C6E">
              <w:rPr>
                <w:sz w:val="20"/>
                <w:lang w:val="it-IT"/>
              </w:rPr>
              <w:t xml:space="preserve">Non profit </w:t>
            </w:r>
            <w:proofErr w:type="spellStart"/>
            <w:r w:rsidRPr="00EE5C6E">
              <w:rPr>
                <w:sz w:val="20"/>
                <w:lang w:val="it-IT"/>
              </w:rPr>
              <w:t>organization</w:t>
            </w:r>
            <w:proofErr w:type="spellEnd"/>
            <w:r w:rsidRPr="00EE5C6E">
              <w:rPr>
                <w:sz w:val="20"/>
                <w:lang w:val="it-IT"/>
              </w:rPr>
              <w:t xml:space="preserve">: </w:t>
            </w:r>
            <w:proofErr w:type="spellStart"/>
            <w:r w:rsidRPr="00EE5C6E">
              <w:rPr>
                <w:sz w:val="20"/>
                <w:lang w:val="it-IT"/>
              </w:rPr>
              <w:t>an</w:t>
            </w:r>
            <w:proofErr w:type="spellEnd"/>
            <w:r w:rsidRPr="00EE5C6E">
              <w:rPr>
                <w:sz w:val="20"/>
                <w:lang w:val="it-IT"/>
              </w:rPr>
              <w:t xml:space="preserve"> </w:t>
            </w:r>
            <w:proofErr w:type="spellStart"/>
            <w:r w:rsidRPr="00EE5C6E">
              <w:rPr>
                <w:sz w:val="20"/>
                <w:lang w:val="it-IT"/>
              </w:rPr>
              <w:t>introduction</w:t>
            </w:r>
            <w:proofErr w:type="spellEnd"/>
          </w:p>
          <w:p w:rsidR="00D905B8" w:rsidRPr="00EE5C6E" w:rsidRDefault="00D905B8" w:rsidP="00085C4C">
            <w:pPr>
              <w:pStyle w:val="Paragrafoelenco"/>
              <w:numPr>
                <w:ilvl w:val="0"/>
                <w:numId w:val="7"/>
              </w:numPr>
              <w:ind w:left="319" w:hanging="142"/>
              <w:rPr>
                <w:sz w:val="20"/>
              </w:rPr>
            </w:pPr>
            <w:r w:rsidRPr="00EE5C6E">
              <w:rPr>
                <w:sz w:val="20"/>
              </w:rPr>
              <w:t>Defining the third sector in Europe</w:t>
            </w:r>
          </w:p>
          <w:p w:rsidR="00235D38" w:rsidRPr="00EE5C6E" w:rsidRDefault="00235D38" w:rsidP="00085C4C">
            <w:pPr>
              <w:pStyle w:val="Paragrafoelenco"/>
              <w:numPr>
                <w:ilvl w:val="0"/>
                <w:numId w:val="7"/>
              </w:numPr>
              <w:ind w:left="319" w:hanging="142"/>
              <w:rPr>
                <w:sz w:val="20"/>
                <w:lang w:val="it-IT"/>
              </w:rPr>
            </w:pPr>
            <w:r w:rsidRPr="00EE5C6E">
              <w:rPr>
                <w:sz w:val="20"/>
                <w:lang w:val="it-IT"/>
              </w:rPr>
              <w:t xml:space="preserve">Public </w:t>
            </w:r>
            <w:proofErr w:type="spellStart"/>
            <w:r w:rsidRPr="00EE5C6E">
              <w:rPr>
                <w:sz w:val="20"/>
                <w:lang w:val="it-IT"/>
              </w:rPr>
              <w:t>services</w:t>
            </w:r>
            <w:proofErr w:type="spellEnd"/>
            <w:r w:rsidRPr="00EE5C6E">
              <w:rPr>
                <w:sz w:val="20"/>
                <w:lang w:val="it-IT"/>
              </w:rPr>
              <w:t xml:space="preserve"> </w:t>
            </w:r>
            <w:proofErr w:type="spellStart"/>
            <w:r w:rsidRPr="00EE5C6E">
              <w:rPr>
                <w:sz w:val="20"/>
                <w:lang w:val="it-IT"/>
              </w:rPr>
              <w:t>co-production</w:t>
            </w:r>
            <w:proofErr w:type="spellEnd"/>
          </w:p>
          <w:p w:rsidR="00235D38" w:rsidRPr="00EE5C6E" w:rsidRDefault="00235D38" w:rsidP="00085C4C">
            <w:pPr>
              <w:rPr>
                <w:lang w:val="it-IT"/>
              </w:rPr>
            </w:pPr>
          </w:p>
        </w:tc>
      </w:tr>
      <w:tr w:rsidR="00235D38" w:rsidRPr="0052438E" w:rsidTr="0087410C">
        <w:trPr>
          <w:trHeight w:val="340"/>
        </w:trPr>
        <w:tc>
          <w:tcPr>
            <w:tcW w:w="3263" w:type="dxa"/>
          </w:tcPr>
          <w:p w:rsidR="00235D38" w:rsidRPr="00857388" w:rsidRDefault="00235D38" w:rsidP="00085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857388">
              <w:rPr>
                <w:rFonts w:ascii="Times New Roman" w:hAnsi="Times New Roman" w:cs="Times New Roman"/>
                <w:b/>
              </w:rPr>
              <w:t>Testi</w:t>
            </w:r>
            <w:proofErr w:type="spellEnd"/>
            <w:r w:rsidRPr="00857388">
              <w:rPr>
                <w:rFonts w:ascii="Times New Roman" w:hAnsi="Times New Roman" w:cs="Times New Roman"/>
                <w:b/>
              </w:rPr>
              <w:t>/Reading list</w:t>
            </w:r>
          </w:p>
          <w:p w:rsidR="00235D38" w:rsidRDefault="00235D38" w:rsidP="00085C4C">
            <w:pPr>
              <w:widowControl w:val="0"/>
              <w:autoSpaceDE w:val="0"/>
              <w:autoSpaceDN w:val="0"/>
              <w:adjustRightInd w:val="0"/>
              <w:rPr>
                <w:b/>
                <w:lang w:val="it-IT"/>
              </w:rPr>
            </w:pPr>
          </w:p>
        </w:tc>
        <w:tc>
          <w:tcPr>
            <w:tcW w:w="3366" w:type="dxa"/>
          </w:tcPr>
          <w:p w:rsidR="00235D38" w:rsidRPr="00EE5C6E" w:rsidRDefault="00235D38" w:rsidP="0052438E">
            <w:pPr>
              <w:pStyle w:val="Paragrafoelenco"/>
              <w:numPr>
                <w:ilvl w:val="0"/>
                <w:numId w:val="9"/>
              </w:numPr>
              <w:rPr>
                <w:shd w:val="clear" w:color="auto" w:fill="FFFFFF"/>
              </w:rPr>
            </w:pPr>
            <w:r w:rsidRPr="00EE5C6E">
              <w:rPr>
                <w:shd w:val="clear" w:color="auto" w:fill="FFFFFF"/>
              </w:rPr>
              <w:t xml:space="preserve">Budding T., Grossi G., </w:t>
            </w:r>
            <w:proofErr w:type="spellStart"/>
            <w:r w:rsidRPr="00EE5C6E">
              <w:rPr>
                <w:shd w:val="clear" w:color="auto" w:fill="FFFFFF"/>
              </w:rPr>
              <w:t>Tagesson</w:t>
            </w:r>
            <w:proofErr w:type="spellEnd"/>
            <w:r w:rsidRPr="00EE5C6E">
              <w:rPr>
                <w:shd w:val="clear" w:color="auto" w:fill="FFFFFF"/>
              </w:rPr>
              <w:t xml:space="preserve"> T. (eds.), </w:t>
            </w:r>
            <w:r w:rsidRPr="00EE5C6E">
              <w:rPr>
                <w:i/>
                <w:shd w:val="clear" w:color="auto" w:fill="FFFFFF"/>
              </w:rPr>
              <w:t>Public Sector Accounting</w:t>
            </w:r>
            <w:r w:rsidRPr="00EE5C6E">
              <w:rPr>
                <w:shd w:val="clear" w:color="auto" w:fill="FFFFFF"/>
              </w:rPr>
              <w:t>, London and New York: Routledge, 2014.</w:t>
            </w:r>
          </w:p>
          <w:p w:rsidR="00235D38" w:rsidRPr="00EE5C6E" w:rsidRDefault="00235D38" w:rsidP="0052438E">
            <w:pPr>
              <w:pStyle w:val="Paragrafoelenco"/>
              <w:numPr>
                <w:ilvl w:val="0"/>
                <w:numId w:val="9"/>
              </w:numPr>
              <w:rPr>
                <w:rFonts w:eastAsia="Arial Unicode MS" w:cs="Arial Unicode MS"/>
              </w:rPr>
            </w:pPr>
            <w:r w:rsidRPr="00EE5C6E">
              <w:rPr>
                <w:rFonts w:eastAsia="Arial Unicode MS"/>
                <w:noProof/>
                <w:lang w:val="it-IT"/>
              </w:rPr>
              <w:drawing>
                <wp:inline distT="0" distB="0" distL="0" distR="0">
                  <wp:extent cx="9525" cy="9525"/>
                  <wp:effectExtent l="0" t="0" r="0" b="0"/>
                  <wp:docPr id="1" name="Immagine 2" descr="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" w:history="1">
              <w:r w:rsidRPr="00EE5C6E">
                <w:rPr>
                  <w:rStyle w:val="Collegamentoipertestuale"/>
                  <w:rFonts w:eastAsia="Arial Unicode MS" w:cs="Arial Unicode MS"/>
                  <w:color w:val="auto"/>
                  <w:u w:val="none"/>
                </w:rPr>
                <w:t>Ball A., Osborne</w:t>
              </w:r>
            </w:hyperlink>
            <w:r w:rsidRPr="00EE5C6E">
              <w:rPr>
                <w:rFonts w:eastAsia="Arial Unicode MS" w:cs="Arial Unicode MS"/>
              </w:rPr>
              <w:t xml:space="preserve"> S.P. (eds.), </w:t>
            </w:r>
            <w:r w:rsidRPr="00EE5C6E">
              <w:rPr>
                <w:rFonts w:eastAsia="Arial Unicode MS" w:cs="Arial Unicode MS"/>
                <w:i/>
              </w:rPr>
              <w:t>Social accounting and public management: Accountability for the common good</w:t>
            </w:r>
            <w:r w:rsidRPr="00EE5C6E">
              <w:rPr>
                <w:rFonts w:eastAsia="Arial Unicode MS" w:cs="Arial Unicode MS"/>
              </w:rPr>
              <w:t xml:space="preserve">, </w:t>
            </w:r>
            <w:r w:rsidRPr="00EE5C6E">
              <w:rPr>
                <w:rFonts w:eastAsia="Arial Unicode MS" w:cs="Arial Unicode MS"/>
                <w:shd w:val="clear" w:color="auto" w:fill="F5F6F7"/>
              </w:rPr>
              <w:t>London: Routledge, 2011.</w:t>
            </w:r>
          </w:p>
          <w:p w:rsidR="00235D38" w:rsidRPr="00EE5C6E" w:rsidRDefault="00235D38" w:rsidP="0052438E">
            <w:pPr>
              <w:pStyle w:val="Paragrafoelenco"/>
              <w:numPr>
                <w:ilvl w:val="0"/>
                <w:numId w:val="9"/>
              </w:numPr>
              <w:rPr>
                <w:rFonts w:eastAsia="Arial Unicode MS" w:cs="Arial Unicode MS"/>
              </w:rPr>
            </w:pPr>
            <w:r w:rsidRPr="00EE5C6E">
              <w:rPr>
                <w:rFonts w:eastAsia="Arial Unicode MS"/>
                <w:noProof/>
              </w:rPr>
              <w:t xml:space="preserve">Alford, J., </w:t>
            </w:r>
            <w:r w:rsidRPr="00EE5C6E">
              <w:rPr>
                <w:rFonts w:eastAsia="Arial Unicode MS"/>
                <w:i/>
                <w:noProof/>
              </w:rPr>
              <w:t>Engaging public sector clients</w:t>
            </w:r>
            <w:r w:rsidRPr="00EE5C6E">
              <w:rPr>
                <w:rFonts w:eastAsia="Arial Unicode MS"/>
                <w:noProof/>
              </w:rPr>
              <w:t>, Palgrave McMillian, 2009.</w:t>
            </w:r>
          </w:p>
          <w:p w:rsidR="00235D38" w:rsidRPr="00EE5C6E" w:rsidRDefault="00235D38" w:rsidP="0052438E">
            <w:pPr>
              <w:pStyle w:val="Paragrafoelenco"/>
              <w:numPr>
                <w:ilvl w:val="0"/>
                <w:numId w:val="9"/>
              </w:numPr>
              <w:ind w:left="714" w:hanging="357"/>
              <w:rPr>
                <w:shd w:val="clear" w:color="auto" w:fill="FFFFFF"/>
              </w:rPr>
            </w:pPr>
            <w:r w:rsidRPr="00EE5C6E">
              <w:rPr>
                <w:rFonts w:eastAsia="Arial Unicode MS"/>
                <w:noProof/>
              </w:rPr>
              <w:t xml:space="preserve">Pestoff V., Brandsen T. (eds.), </w:t>
            </w:r>
            <w:r w:rsidRPr="00EE5C6E">
              <w:rPr>
                <w:rFonts w:eastAsia="Arial Unicode MS"/>
                <w:i/>
                <w:noProof/>
              </w:rPr>
              <w:t xml:space="preserve">Coproduction, the third secotr and the delivery of public </w:t>
            </w:r>
            <w:r w:rsidRPr="00EE5C6E">
              <w:rPr>
                <w:rFonts w:eastAsia="Arial Unicode MS"/>
                <w:i/>
                <w:noProof/>
              </w:rPr>
              <w:lastRenderedPageBreak/>
              <w:t>services</w:t>
            </w:r>
            <w:r w:rsidRPr="00EE5C6E">
              <w:rPr>
                <w:rFonts w:eastAsia="Arial Unicode MS"/>
                <w:noProof/>
              </w:rPr>
              <w:t>, Routledge, 2013.</w:t>
            </w:r>
          </w:p>
          <w:p w:rsidR="0052438E" w:rsidRPr="00EE5C6E" w:rsidRDefault="0052438E" w:rsidP="0052438E">
            <w:pPr>
              <w:pStyle w:val="Paragrafoelenco"/>
              <w:numPr>
                <w:ilvl w:val="0"/>
                <w:numId w:val="9"/>
              </w:numPr>
              <w:ind w:left="714" w:hanging="357"/>
              <w:rPr>
                <w:lang w:val="it-IT"/>
              </w:rPr>
            </w:pPr>
            <w:r w:rsidRPr="00EE5C6E">
              <w:rPr>
                <w:lang w:val="it-IT"/>
              </w:rPr>
              <w:t xml:space="preserve">Del Gesso C., </w:t>
            </w:r>
            <w:r w:rsidRPr="00EE5C6E">
              <w:rPr>
                <w:i/>
                <w:lang w:val="it-IT"/>
              </w:rPr>
              <w:t>La visione sistemica dell’Azienda sanitaria pubblica. Tendenze evolutive dell’organizzazione, della gestione e della rilevazione nel sistema di tutela della salute,</w:t>
            </w:r>
            <w:r w:rsidRPr="00EE5C6E">
              <w:rPr>
                <w:lang w:val="it-IT"/>
              </w:rPr>
              <w:t xml:space="preserve"> </w:t>
            </w:r>
            <w:proofErr w:type="spellStart"/>
            <w:r w:rsidRPr="00EE5C6E">
              <w:rPr>
                <w:lang w:val="it-IT"/>
              </w:rPr>
              <w:t>FrancoAngeli</w:t>
            </w:r>
            <w:proofErr w:type="spellEnd"/>
            <w:r w:rsidRPr="00EE5C6E">
              <w:rPr>
                <w:lang w:val="it-IT"/>
              </w:rPr>
              <w:t>, Milano, 2014.</w:t>
            </w:r>
          </w:p>
          <w:p w:rsidR="0052438E" w:rsidRPr="00EE5C6E" w:rsidRDefault="0052438E" w:rsidP="0052438E">
            <w:pPr>
              <w:pStyle w:val="Paragrafoelenco"/>
              <w:rPr>
                <w:shd w:val="clear" w:color="auto" w:fill="FFFFFF"/>
                <w:lang w:val="it-IT"/>
              </w:rPr>
            </w:pPr>
          </w:p>
        </w:tc>
        <w:tc>
          <w:tcPr>
            <w:tcW w:w="3366" w:type="dxa"/>
          </w:tcPr>
          <w:p w:rsidR="00235D38" w:rsidRPr="00EE5C6E" w:rsidRDefault="00235D38" w:rsidP="0098095E">
            <w:pPr>
              <w:pStyle w:val="Paragrafoelenco"/>
              <w:numPr>
                <w:ilvl w:val="0"/>
                <w:numId w:val="9"/>
              </w:numPr>
              <w:ind w:left="284" w:hanging="284"/>
              <w:rPr>
                <w:shd w:val="clear" w:color="auto" w:fill="FFFFFF"/>
              </w:rPr>
            </w:pPr>
            <w:r w:rsidRPr="00EE5C6E">
              <w:rPr>
                <w:shd w:val="clear" w:color="auto" w:fill="FFFFFF"/>
              </w:rPr>
              <w:lastRenderedPageBreak/>
              <w:t xml:space="preserve">Budding T., Grossi G., </w:t>
            </w:r>
            <w:proofErr w:type="spellStart"/>
            <w:r w:rsidRPr="00EE5C6E">
              <w:rPr>
                <w:shd w:val="clear" w:color="auto" w:fill="FFFFFF"/>
              </w:rPr>
              <w:t>Tagesson</w:t>
            </w:r>
            <w:proofErr w:type="spellEnd"/>
            <w:r w:rsidRPr="00EE5C6E">
              <w:rPr>
                <w:shd w:val="clear" w:color="auto" w:fill="FFFFFF"/>
              </w:rPr>
              <w:t xml:space="preserve"> T. (eds.), </w:t>
            </w:r>
            <w:r w:rsidRPr="00EE5C6E">
              <w:rPr>
                <w:i/>
                <w:shd w:val="clear" w:color="auto" w:fill="FFFFFF"/>
              </w:rPr>
              <w:t>Public Sector Accounting</w:t>
            </w:r>
            <w:r w:rsidRPr="00EE5C6E">
              <w:rPr>
                <w:shd w:val="clear" w:color="auto" w:fill="FFFFFF"/>
              </w:rPr>
              <w:t>, London and New York: Routledge, 2014.</w:t>
            </w:r>
          </w:p>
          <w:p w:rsidR="00235D38" w:rsidRPr="00EE5C6E" w:rsidRDefault="00235D38" w:rsidP="00235D38">
            <w:pPr>
              <w:pStyle w:val="Paragrafoelenco"/>
              <w:numPr>
                <w:ilvl w:val="0"/>
                <w:numId w:val="9"/>
              </w:numPr>
              <w:ind w:left="284" w:hanging="284"/>
              <w:rPr>
                <w:rFonts w:eastAsia="Arial Unicode MS" w:cs="Arial Unicode MS"/>
              </w:rPr>
            </w:pPr>
            <w:r w:rsidRPr="00EE5C6E">
              <w:rPr>
                <w:rFonts w:eastAsia="Arial Unicode MS"/>
                <w:noProof/>
                <w:lang w:val="it-IT"/>
              </w:rPr>
              <w:drawing>
                <wp:inline distT="0" distB="0" distL="0" distR="0">
                  <wp:extent cx="9525" cy="9525"/>
                  <wp:effectExtent l="0" t="0" r="0" b="0"/>
                  <wp:docPr id="3" name="Immagine 2" descr="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history="1">
              <w:r w:rsidRPr="00EE5C6E">
                <w:rPr>
                  <w:rStyle w:val="Collegamentoipertestuale"/>
                  <w:rFonts w:eastAsia="Arial Unicode MS" w:cs="Arial Unicode MS"/>
                  <w:color w:val="auto"/>
                  <w:u w:val="none"/>
                </w:rPr>
                <w:t>Ball A., Osborne</w:t>
              </w:r>
            </w:hyperlink>
            <w:r w:rsidRPr="00EE5C6E">
              <w:rPr>
                <w:rFonts w:eastAsia="Arial Unicode MS" w:cs="Arial Unicode MS"/>
              </w:rPr>
              <w:t xml:space="preserve"> S.P. (eds.), </w:t>
            </w:r>
            <w:r w:rsidRPr="00EE5C6E">
              <w:rPr>
                <w:rFonts w:eastAsia="Arial Unicode MS" w:cs="Arial Unicode MS"/>
                <w:i/>
              </w:rPr>
              <w:t>Social accounting and public management: Accountability for the common good</w:t>
            </w:r>
            <w:r w:rsidRPr="00EE5C6E">
              <w:rPr>
                <w:rFonts w:eastAsia="Arial Unicode MS" w:cs="Arial Unicode MS"/>
              </w:rPr>
              <w:t xml:space="preserve">, </w:t>
            </w:r>
            <w:r w:rsidRPr="00EE5C6E">
              <w:rPr>
                <w:rFonts w:eastAsia="Arial Unicode MS" w:cs="Arial Unicode MS"/>
                <w:shd w:val="clear" w:color="auto" w:fill="F5F6F7"/>
              </w:rPr>
              <w:t>London: Routledge, 2011.</w:t>
            </w:r>
          </w:p>
          <w:p w:rsidR="00235D38" w:rsidRPr="00EE5C6E" w:rsidRDefault="00235D38" w:rsidP="00235D38">
            <w:pPr>
              <w:pStyle w:val="Paragrafoelenco"/>
              <w:numPr>
                <w:ilvl w:val="0"/>
                <w:numId w:val="9"/>
              </w:numPr>
              <w:ind w:left="284" w:hanging="284"/>
              <w:rPr>
                <w:rFonts w:eastAsia="Arial Unicode MS" w:cs="Arial Unicode MS"/>
              </w:rPr>
            </w:pPr>
            <w:r w:rsidRPr="00EE5C6E">
              <w:rPr>
                <w:rFonts w:eastAsia="Arial Unicode MS"/>
                <w:noProof/>
              </w:rPr>
              <w:t xml:space="preserve">Alford, J., </w:t>
            </w:r>
            <w:r w:rsidRPr="00EE5C6E">
              <w:rPr>
                <w:rFonts w:eastAsia="Arial Unicode MS"/>
                <w:i/>
                <w:noProof/>
              </w:rPr>
              <w:t>Engaging public sector clients</w:t>
            </w:r>
            <w:r w:rsidRPr="00EE5C6E">
              <w:rPr>
                <w:rFonts w:eastAsia="Arial Unicode MS"/>
                <w:noProof/>
              </w:rPr>
              <w:t>, Palgrave McMillian, 2009.</w:t>
            </w:r>
          </w:p>
          <w:p w:rsidR="00235D38" w:rsidRPr="00EE5C6E" w:rsidRDefault="00235D38" w:rsidP="009C7726">
            <w:pPr>
              <w:pStyle w:val="Paragrafoelenco"/>
              <w:numPr>
                <w:ilvl w:val="0"/>
                <w:numId w:val="9"/>
              </w:numPr>
              <w:ind w:left="284" w:hanging="284"/>
              <w:rPr>
                <w:shd w:val="clear" w:color="auto" w:fill="FFFFFF"/>
              </w:rPr>
            </w:pPr>
            <w:r w:rsidRPr="00EE5C6E">
              <w:rPr>
                <w:rFonts w:eastAsia="Arial Unicode MS"/>
                <w:noProof/>
              </w:rPr>
              <w:t xml:space="preserve">Pestoff V., Brandsen T. (eds.), </w:t>
            </w:r>
            <w:r w:rsidRPr="00EE5C6E">
              <w:rPr>
                <w:rFonts w:eastAsia="Arial Unicode MS"/>
                <w:i/>
                <w:noProof/>
              </w:rPr>
              <w:t>Coproduction, the third secotr and the delivery of public services</w:t>
            </w:r>
            <w:r w:rsidRPr="00EE5C6E">
              <w:rPr>
                <w:rFonts w:eastAsia="Arial Unicode MS"/>
                <w:noProof/>
              </w:rPr>
              <w:t>, Routledge, 2013.</w:t>
            </w:r>
          </w:p>
          <w:p w:rsidR="00D905B8" w:rsidRPr="00EE5C6E" w:rsidRDefault="00D905B8" w:rsidP="009C7726">
            <w:pPr>
              <w:pStyle w:val="Paragrafoelenco"/>
              <w:numPr>
                <w:ilvl w:val="0"/>
                <w:numId w:val="9"/>
              </w:numPr>
              <w:ind w:left="284" w:hanging="284"/>
              <w:rPr>
                <w:shd w:val="clear" w:color="auto" w:fill="FFFFFF"/>
              </w:rPr>
            </w:pPr>
            <w:r w:rsidRPr="00EE5C6E">
              <w:rPr>
                <w:rFonts w:eastAsia="Arial Unicode MS"/>
                <w:noProof/>
              </w:rPr>
              <w:t xml:space="preserve">Evers A., Laville J.L., </w:t>
            </w:r>
            <w:r w:rsidRPr="00EE5C6E">
              <w:rPr>
                <w:rFonts w:eastAsia="Arial Unicode MS"/>
                <w:i/>
                <w:noProof/>
              </w:rPr>
              <w:t xml:space="preserve">Defining Third sector in </w:t>
            </w:r>
            <w:r w:rsidRPr="00EE5C6E">
              <w:rPr>
                <w:rFonts w:eastAsia="Arial Unicode MS"/>
                <w:i/>
                <w:noProof/>
              </w:rPr>
              <w:lastRenderedPageBreak/>
              <w:t>Europe</w:t>
            </w:r>
            <w:r w:rsidRPr="00EE5C6E">
              <w:rPr>
                <w:rFonts w:eastAsia="Arial Unicode MS"/>
                <w:noProof/>
              </w:rPr>
              <w:t>, Elgar, 2004</w:t>
            </w:r>
          </w:p>
        </w:tc>
      </w:tr>
      <w:tr w:rsidR="00235D38" w:rsidRPr="00F62010" w:rsidTr="0087410C">
        <w:trPr>
          <w:trHeight w:val="340"/>
        </w:trPr>
        <w:tc>
          <w:tcPr>
            <w:tcW w:w="3263" w:type="dxa"/>
            <w:vAlign w:val="center"/>
          </w:tcPr>
          <w:p w:rsidR="00235D38" w:rsidRDefault="00235D38" w:rsidP="0087410C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lastRenderedPageBreak/>
              <w:t>Mese/</w:t>
            </w:r>
            <w:proofErr w:type="spellStart"/>
            <w:r>
              <w:rPr>
                <w:b/>
                <w:lang w:val="it-IT"/>
              </w:rPr>
              <w:t>Month*</w:t>
            </w:r>
            <w:proofErr w:type="spellEnd"/>
            <w:r>
              <w:rPr>
                <w:b/>
                <w:lang w:val="it-IT"/>
              </w:rPr>
              <w:t xml:space="preserve">: </w:t>
            </w:r>
          </w:p>
        </w:tc>
        <w:tc>
          <w:tcPr>
            <w:tcW w:w="3366" w:type="dxa"/>
            <w:vAlign w:val="center"/>
          </w:tcPr>
          <w:p w:rsidR="00235D38" w:rsidRPr="00301ADA" w:rsidRDefault="00235D38" w:rsidP="0087410C">
            <w:pPr>
              <w:rPr>
                <w:lang w:val="it-IT"/>
              </w:rPr>
            </w:pPr>
            <w:r>
              <w:rPr>
                <w:lang w:val="it-IT"/>
              </w:rPr>
              <w:t>Giugno</w:t>
            </w:r>
          </w:p>
        </w:tc>
        <w:tc>
          <w:tcPr>
            <w:tcW w:w="3366" w:type="dxa"/>
            <w:vAlign w:val="center"/>
          </w:tcPr>
          <w:p w:rsidR="00235D38" w:rsidRPr="00301ADA" w:rsidRDefault="00235D38" w:rsidP="0087410C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June</w:t>
            </w:r>
            <w:proofErr w:type="spellEnd"/>
          </w:p>
        </w:tc>
      </w:tr>
      <w:tr w:rsidR="00235D38" w:rsidRPr="00F62010" w:rsidTr="0087410C">
        <w:trPr>
          <w:trHeight w:val="340"/>
        </w:trPr>
        <w:tc>
          <w:tcPr>
            <w:tcW w:w="3263" w:type="dxa"/>
            <w:vAlign w:val="center"/>
          </w:tcPr>
          <w:p w:rsidR="00235D38" w:rsidRDefault="00235D38" w:rsidP="0087410C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Curriculum</w:t>
            </w:r>
          </w:p>
        </w:tc>
        <w:tc>
          <w:tcPr>
            <w:tcW w:w="3366" w:type="dxa"/>
            <w:vAlign w:val="center"/>
          </w:tcPr>
          <w:p w:rsidR="00235D38" w:rsidRPr="00F952A6" w:rsidRDefault="00235D38" w:rsidP="0087410C">
            <w:pPr>
              <w:rPr>
                <w:lang w:val="it-IT"/>
              </w:rPr>
            </w:pPr>
            <w:r>
              <w:rPr>
                <w:lang w:val="it-IT"/>
              </w:rPr>
              <w:t>-</w:t>
            </w:r>
            <w:r w:rsidRPr="00F952A6">
              <w:rPr>
                <w:lang w:val="it-IT"/>
              </w:rPr>
              <w:t xml:space="preserve"> </w:t>
            </w:r>
            <w:r>
              <w:rPr>
                <w:lang w:val="it-IT"/>
              </w:rPr>
              <w:t>Economia e impresa</w:t>
            </w:r>
          </w:p>
        </w:tc>
        <w:tc>
          <w:tcPr>
            <w:tcW w:w="3366" w:type="dxa"/>
            <w:vAlign w:val="center"/>
          </w:tcPr>
          <w:p w:rsidR="00235D38" w:rsidRPr="00A348A4" w:rsidRDefault="00235D38" w:rsidP="0087410C">
            <w:pPr>
              <w:ind w:right="176"/>
            </w:pPr>
            <w:r w:rsidRPr="00A348A4">
              <w:t>- Economics and Business</w:t>
            </w:r>
          </w:p>
        </w:tc>
      </w:tr>
    </w:tbl>
    <w:p w:rsidR="00E26FD3" w:rsidRDefault="00E26FD3" w:rsidP="00E26FD3">
      <w:pPr>
        <w:jc w:val="both"/>
        <w:rPr>
          <w:lang w:val="it-IT"/>
        </w:rPr>
      </w:pPr>
      <w:r>
        <w:rPr>
          <w:lang w:val="it-IT"/>
        </w:rPr>
        <w:t>*Periodo in cui si terranno le lezioni, per il dettaglio dei giorni di lezione vedere calendario on line.</w:t>
      </w:r>
    </w:p>
    <w:p w:rsidR="000030B3" w:rsidRDefault="000030B3">
      <w:pPr>
        <w:rPr>
          <w:lang w:val="it-IT"/>
        </w:rPr>
      </w:pPr>
    </w:p>
    <w:sectPr w:rsidR="000030B3" w:rsidSect="00FA57A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∞‡˙ø◊˜‚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8AD"/>
    <w:multiLevelType w:val="hybridMultilevel"/>
    <w:tmpl w:val="35B6CDE4"/>
    <w:lvl w:ilvl="0" w:tplc="4A5898BE">
      <w:start w:val="14"/>
      <w:numFmt w:val="bullet"/>
      <w:lvlText w:val="-"/>
      <w:lvlJc w:val="left"/>
      <w:pPr>
        <w:ind w:left="512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>
    <w:nsid w:val="1C9116A7"/>
    <w:multiLevelType w:val="hybridMultilevel"/>
    <w:tmpl w:val="D2F46ECA"/>
    <w:lvl w:ilvl="0" w:tplc="CA384FB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lang w:val="en-U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F59D1"/>
    <w:multiLevelType w:val="hybridMultilevel"/>
    <w:tmpl w:val="049E66A4"/>
    <w:lvl w:ilvl="0" w:tplc="96248B18">
      <w:start w:val="14"/>
      <w:numFmt w:val="bullet"/>
      <w:lvlText w:val="-"/>
      <w:lvlJc w:val="left"/>
      <w:pPr>
        <w:ind w:left="37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>
    <w:nsid w:val="3AD65BF2"/>
    <w:multiLevelType w:val="hybridMultilevel"/>
    <w:tmpl w:val="4E64D9BC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944D2"/>
    <w:multiLevelType w:val="hybridMultilevel"/>
    <w:tmpl w:val="C79A0026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66E29"/>
    <w:multiLevelType w:val="hybridMultilevel"/>
    <w:tmpl w:val="C7BC267C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319F7"/>
    <w:multiLevelType w:val="hybridMultilevel"/>
    <w:tmpl w:val="AB6490DC"/>
    <w:lvl w:ilvl="0" w:tplc="6B32E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22E0D"/>
    <w:multiLevelType w:val="hybridMultilevel"/>
    <w:tmpl w:val="9E64CD2E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91CEF"/>
    <w:multiLevelType w:val="hybridMultilevel"/>
    <w:tmpl w:val="71DC60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1E6BCB"/>
    <w:multiLevelType w:val="hybridMultilevel"/>
    <w:tmpl w:val="12B4E684"/>
    <w:lvl w:ilvl="0" w:tplc="CE645ED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5802E6"/>
    <w:multiLevelType w:val="hybridMultilevel"/>
    <w:tmpl w:val="C2F027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>
    <w:useFELayout/>
  </w:compat>
  <w:rsids>
    <w:rsidRoot w:val="008A5408"/>
    <w:rsid w:val="000030B3"/>
    <w:rsid w:val="00011434"/>
    <w:rsid w:val="00023E49"/>
    <w:rsid w:val="00030583"/>
    <w:rsid w:val="00096513"/>
    <w:rsid w:val="000B04E8"/>
    <w:rsid w:val="000B5CD3"/>
    <w:rsid w:val="000E1E33"/>
    <w:rsid w:val="00165E10"/>
    <w:rsid w:val="001825D9"/>
    <w:rsid w:val="00186433"/>
    <w:rsid w:val="001A6BFD"/>
    <w:rsid w:val="001C11FE"/>
    <w:rsid w:val="001E0AED"/>
    <w:rsid w:val="001E1005"/>
    <w:rsid w:val="002238F1"/>
    <w:rsid w:val="002336D7"/>
    <w:rsid w:val="00235D38"/>
    <w:rsid w:val="00243FF6"/>
    <w:rsid w:val="00256EA5"/>
    <w:rsid w:val="002A0B96"/>
    <w:rsid w:val="002B1B10"/>
    <w:rsid w:val="002E2118"/>
    <w:rsid w:val="0030424C"/>
    <w:rsid w:val="003060F9"/>
    <w:rsid w:val="0034737B"/>
    <w:rsid w:val="00374E55"/>
    <w:rsid w:val="00397BF7"/>
    <w:rsid w:val="003E1155"/>
    <w:rsid w:val="003E3621"/>
    <w:rsid w:val="003F132A"/>
    <w:rsid w:val="003F6DDD"/>
    <w:rsid w:val="004300A0"/>
    <w:rsid w:val="00467B60"/>
    <w:rsid w:val="00497472"/>
    <w:rsid w:val="004A0520"/>
    <w:rsid w:val="004A63AD"/>
    <w:rsid w:val="004A75E0"/>
    <w:rsid w:val="004C5E61"/>
    <w:rsid w:val="0052438E"/>
    <w:rsid w:val="005B41DA"/>
    <w:rsid w:val="005D6098"/>
    <w:rsid w:val="005D673B"/>
    <w:rsid w:val="005E6804"/>
    <w:rsid w:val="00602B1D"/>
    <w:rsid w:val="006034E8"/>
    <w:rsid w:val="00605C9C"/>
    <w:rsid w:val="00647050"/>
    <w:rsid w:val="00673922"/>
    <w:rsid w:val="006A4D1B"/>
    <w:rsid w:val="006C106A"/>
    <w:rsid w:val="0070609B"/>
    <w:rsid w:val="00712FD3"/>
    <w:rsid w:val="007170CF"/>
    <w:rsid w:val="00717A91"/>
    <w:rsid w:val="00737ABC"/>
    <w:rsid w:val="0074740B"/>
    <w:rsid w:val="00767C4C"/>
    <w:rsid w:val="007B60D4"/>
    <w:rsid w:val="007C0136"/>
    <w:rsid w:val="007D2B37"/>
    <w:rsid w:val="007D3017"/>
    <w:rsid w:val="00811FAF"/>
    <w:rsid w:val="008226B4"/>
    <w:rsid w:val="0087410C"/>
    <w:rsid w:val="00887A73"/>
    <w:rsid w:val="00890DB0"/>
    <w:rsid w:val="00897BEE"/>
    <w:rsid w:val="008A5408"/>
    <w:rsid w:val="009343A3"/>
    <w:rsid w:val="009A3E9F"/>
    <w:rsid w:val="009A768C"/>
    <w:rsid w:val="009C7726"/>
    <w:rsid w:val="009D2747"/>
    <w:rsid w:val="009F3237"/>
    <w:rsid w:val="009F73A5"/>
    <w:rsid w:val="00A715DB"/>
    <w:rsid w:val="00AC7BB9"/>
    <w:rsid w:val="00AF47ED"/>
    <w:rsid w:val="00B139A1"/>
    <w:rsid w:val="00B15EE1"/>
    <w:rsid w:val="00B25617"/>
    <w:rsid w:val="00B457A0"/>
    <w:rsid w:val="00B47865"/>
    <w:rsid w:val="00B736EE"/>
    <w:rsid w:val="00B76BCE"/>
    <w:rsid w:val="00BA25BD"/>
    <w:rsid w:val="00BB191C"/>
    <w:rsid w:val="00BF4FED"/>
    <w:rsid w:val="00C3412E"/>
    <w:rsid w:val="00C72DD1"/>
    <w:rsid w:val="00C76B6D"/>
    <w:rsid w:val="00C92440"/>
    <w:rsid w:val="00C93854"/>
    <w:rsid w:val="00CB6A29"/>
    <w:rsid w:val="00CC30C6"/>
    <w:rsid w:val="00D07FE7"/>
    <w:rsid w:val="00D267F5"/>
    <w:rsid w:val="00D337A1"/>
    <w:rsid w:val="00D46789"/>
    <w:rsid w:val="00D63E40"/>
    <w:rsid w:val="00D72F83"/>
    <w:rsid w:val="00D8469A"/>
    <w:rsid w:val="00D905B8"/>
    <w:rsid w:val="00E0515D"/>
    <w:rsid w:val="00E07E6B"/>
    <w:rsid w:val="00E26FD3"/>
    <w:rsid w:val="00E2784E"/>
    <w:rsid w:val="00E53F52"/>
    <w:rsid w:val="00E930C7"/>
    <w:rsid w:val="00EB616D"/>
    <w:rsid w:val="00ED06FC"/>
    <w:rsid w:val="00EE5C6E"/>
    <w:rsid w:val="00F07946"/>
    <w:rsid w:val="00F332F5"/>
    <w:rsid w:val="00F41C65"/>
    <w:rsid w:val="00F41DDD"/>
    <w:rsid w:val="00F446A8"/>
    <w:rsid w:val="00F45064"/>
    <w:rsid w:val="00F66B1A"/>
    <w:rsid w:val="00F81FD7"/>
    <w:rsid w:val="00F877FD"/>
    <w:rsid w:val="00F91392"/>
    <w:rsid w:val="00F952A6"/>
    <w:rsid w:val="00FA51FB"/>
    <w:rsid w:val="00FA57AF"/>
    <w:rsid w:val="00FC7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737A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106A"/>
    <w:pPr>
      <w:ind w:left="720"/>
      <w:contextualSpacing/>
    </w:pPr>
  </w:style>
  <w:style w:type="table" w:styleId="Grigliatabella">
    <w:name w:val="Table Grid"/>
    <w:basedOn w:val="Tabellanormale"/>
    <w:uiPriority w:val="59"/>
    <w:rsid w:val="003E1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F41DDD"/>
  </w:style>
  <w:style w:type="character" w:customStyle="1" w:styleId="slug-vol">
    <w:name w:val="slug-vol"/>
    <w:basedOn w:val="Carpredefinitoparagrafo"/>
    <w:rsid w:val="007D2B37"/>
  </w:style>
  <w:style w:type="character" w:customStyle="1" w:styleId="slug-issue">
    <w:name w:val="slug-issue"/>
    <w:basedOn w:val="Carpredefinitoparagrafo"/>
    <w:rsid w:val="007D2B37"/>
  </w:style>
  <w:style w:type="character" w:customStyle="1" w:styleId="slug-pages">
    <w:name w:val="slug-pages"/>
    <w:basedOn w:val="Carpredefinitoparagrafo"/>
    <w:rsid w:val="007D2B37"/>
  </w:style>
  <w:style w:type="character" w:customStyle="1" w:styleId="searchword">
    <w:name w:val="searchword"/>
    <w:basedOn w:val="Carpredefinitoparagrafo"/>
    <w:rsid w:val="007D2B37"/>
  </w:style>
  <w:style w:type="character" w:styleId="Collegamentoipertestuale">
    <w:name w:val="Hyperlink"/>
    <w:basedOn w:val="Carpredefinitoparagrafo"/>
    <w:uiPriority w:val="99"/>
    <w:unhideWhenUsed/>
    <w:rsid w:val="00F446A8"/>
    <w:rPr>
      <w:color w:val="0000FF" w:themeColor="hyperlink"/>
      <w:u w:val="single"/>
    </w:rPr>
  </w:style>
  <w:style w:type="character" w:customStyle="1" w:styleId="text3">
    <w:name w:val="text3"/>
    <w:basedOn w:val="Carpredefinitoparagrafo"/>
    <w:rsid w:val="00FC79EC"/>
  </w:style>
  <w:style w:type="character" w:customStyle="1" w:styleId="apple-converted-space">
    <w:name w:val="apple-converted-space"/>
    <w:basedOn w:val="Carpredefinitoparagrafo"/>
    <w:rsid w:val="00FC79EC"/>
  </w:style>
  <w:style w:type="paragraph" w:styleId="Testofumetto">
    <w:name w:val="Balloon Text"/>
    <w:basedOn w:val="Normale"/>
    <w:link w:val="TestofumettoCarattere"/>
    <w:rsid w:val="00FC79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C7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106A"/>
    <w:pPr>
      <w:ind w:left="720"/>
      <w:contextualSpacing/>
    </w:pPr>
  </w:style>
  <w:style w:type="table" w:styleId="Grigliatabella">
    <w:name w:val="Table Grid"/>
    <w:basedOn w:val="Tabellanormale"/>
    <w:uiPriority w:val="59"/>
    <w:rsid w:val="003E1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F41DDD"/>
  </w:style>
  <w:style w:type="character" w:customStyle="1" w:styleId="slug-vol">
    <w:name w:val="slug-vol"/>
    <w:basedOn w:val="Caratterepredefinitoparagrafo"/>
    <w:rsid w:val="007D2B37"/>
  </w:style>
  <w:style w:type="character" w:customStyle="1" w:styleId="slug-issue">
    <w:name w:val="slug-issue"/>
    <w:basedOn w:val="Caratterepredefinitoparagrafo"/>
    <w:rsid w:val="007D2B37"/>
  </w:style>
  <w:style w:type="character" w:customStyle="1" w:styleId="slug-pages">
    <w:name w:val="slug-pages"/>
    <w:basedOn w:val="Caratterepredefinitoparagrafo"/>
    <w:rsid w:val="007D2B37"/>
  </w:style>
  <w:style w:type="character" w:customStyle="1" w:styleId="searchword">
    <w:name w:val="searchword"/>
    <w:basedOn w:val="Caratterepredefinitoparagrafo"/>
    <w:rsid w:val="007D2B37"/>
  </w:style>
  <w:style w:type="character" w:styleId="Collegamentoipertestuale">
    <w:name w:val="Hyperlink"/>
    <w:basedOn w:val="Caratterepredefinitoparagrafo"/>
    <w:uiPriority w:val="99"/>
    <w:unhideWhenUsed/>
    <w:rsid w:val="00F446A8"/>
    <w:rPr>
      <w:color w:val="0000FF" w:themeColor="hyperlink"/>
      <w:u w:val="single"/>
    </w:rPr>
  </w:style>
  <w:style w:type="character" w:customStyle="1" w:styleId="text3">
    <w:name w:val="text3"/>
    <w:basedOn w:val="Caratterepredefinitoparagrafo"/>
    <w:rsid w:val="00FC79EC"/>
  </w:style>
  <w:style w:type="character" w:customStyle="1" w:styleId="apple-converted-space">
    <w:name w:val="apple-converted-space"/>
    <w:basedOn w:val="Caratterepredefinitoparagrafo"/>
    <w:rsid w:val="00FC79EC"/>
  </w:style>
  <w:style w:type="paragraph" w:styleId="Testofumetto">
    <w:name w:val="Balloon Text"/>
    <w:basedOn w:val="Normale"/>
    <w:link w:val="TestofumettoCarattere"/>
    <w:rsid w:val="00FC79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FC79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4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open_window(%22http://www.biblioteche.unipg.it:80/F/D4668VE2I2EQULPY752GF9Y3Y8FUFFD9P6BAE4CD1Q5J3C78K5-07196?func=service&amp;doc_number=000836778&amp;line_number=0010&amp;service_type=TAG%22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open_window(%22http://www.biblioteche.unipg.it:80/F/D4668VE2I2EQULPY752GF9Y3Y8FUFFD9P6BAE4CD1Q5J3C78K5-07196?func=service&amp;doc_number=000836778&amp;line_number=0010&amp;service_type=TAG%22);" TargetMode="External"/><Relationship Id="rId5" Type="http://schemas.openxmlformats.org/officeDocument/2006/relationships/image" Target="media/image1.gi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Univ. Perugia - Dip. Economia, Finanza e Statistica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Castellani</dc:creator>
  <cp:lastModifiedBy>LucaB</cp:lastModifiedBy>
  <cp:revision>2</cp:revision>
  <cp:lastPrinted>2017-01-30T09:02:00Z</cp:lastPrinted>
  <dcterms:created xsi:type="dcterms:W3CDTF">2017-01-30T14:00:00Z</dcterms:created>
  <dcterms:modified xsi:type="dcterms:W3CDTF">2017-01-30T14:00:00Z</dcterms:modified>
</cp:coreProperties>
</file>