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11A210A5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8657D7" w:rsidRPr="008657D7">
        <w:rPr>
          <w:b/>
          <w:lang w:val="it-IT"/>
        </w:rPr>
        <w:t>Corporate governance e organizzazione d'impresa: Economia dei costi di transazione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8657D7">
        <w:rPr>
          <w:rFonts w:ascii="Times New Roman" w:eastAsia="Times New Roman" w:hAnsi="Times New Roman" w:cs="Times New Roman"/>
          <w:b/>
          <w:lang w:val="it-IT" w:eastAsia="en-US"/>
        </w:rPr>
        <w:t>Corporate governance and firm organization – Transaction cost economics</w:t>
      </w:r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6FD5B40F" w:rsidR="009E07DF" w:rsidRPr="00F877FD" w:rsidRDefault="007E6C3F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Gaetano Martino</w:t>
            </w:r>
          </w:p>
        </w:tc>
        <w:tc>
          <w:tcPr>
            <w:tcW w:w="3686" w:type="dxa"/>
            <w:vAlign w:val="center"/>
          </w:tcPr>
          <w:p w14:paraId="00039070" w14:textId="21726D31" w:rsidR="009E07DF" w:rsidRPr="00F877FD" w:rsidRDefault="007E6C3F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Gaetano Martino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0ECC4C96" w:rsidR="00D46789" w:rsidRPr="00834460" w:rsidRDefault="00834460" w:rsidP="002E2118">
            <w:pPr>
              <w:jc w:val="center"/>
              <w:rPr>
                <w:lang w:val="it-IT"/>
              </w:rPr>
            </w:pPr>
            <w:r w:rsidRPr="00834460">
              <w:rPr>
                <w:lang w:val="it-IT"/>
              </w:rPr>
              <w:t>Corporate governance e organizzazione d'impresa: Economia dei costi di transazione</w:t>
            </w:r>
          </w:p>
        </w:tc>
        <w:tc>
          <w:tcPr>
            <w:tcW w:w="3686" w:type="dxa"/>
            <w:vAlign w:val="center"/>
          </w:tcPr>
          <w:p w14:paraId="6613ACA6" w14:textId="2B782E85" w:rsidR="00D46789" w:rsidRPr="00834460" w:rsidRDefault="00834460" w:rsidP="002E2118">
            <w:pPr>
              <w:ind w:right="176"/>
              <w:jc w:val="center"/>
            </w:pPr>
            <w:r w:rsidRPr="00834460">
              <w:t>Corporate governance and firm organization – Transaction cost economics</w:t>
            </w:r>
          </w:p>
        </w:tc>
      </w:tr>
      <w:tr w:rsidR="00D46789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4405A14C" w14:textId="77777777" w:rsidR="005F2268" w:rsidRPr="005F2268" w:rsidRDefault="005F2268" w:rsidP="005F2268">
            <w:pPr>
              <w:rPr>
                <w:lang w:val="it-IT"/>
              </w:rPr>
            </w:pPr>
            <w:r w:rsidRPr="005F2268">
              <w:rPr>
                <w:lang w:val="it-IT"/>
              </w:rPr>
              <w:t xml:space="preserve">1. Il problema fondamentale: divisione del lavoro e rischi contrattuali; coordinamento e cooperazione; livelli di analisi istituzionale. </w:t>
            </w:r>
          </w:p>
          <w:p w14:paraId="2709C205" w14:textId="77777777" w:rsidR="005F2268" w:rsidRPr="005F2268" w:rsidRDefault="005F2268" w:rsidP="005F2268">
            <w:pPr>
              <w:rPr>
                <w:lang w:val="it-IT"/>
              </w:rPr>
            </w:pPr>
            <w:r w:rsidRPr="005F2268">
              <w:rPr>
                <w:lang w:val="it-IT"/>
              </w:rPr>
              <w:t>2. Ambiente istituzionale: Istituzioni come regole del gioco; organizzazioni ed istituzioni.</w:t>
            </w:r>
            <w:r w:rsidRPr="005F2268">
              <w:rPr>
                <w:lang w:val="it-IT"/>
              </w:rPr>
              <w:br/>
              <w:t xml:space="preserve">3. Il modello </w:t>
            </w:r>
          </w:p>
          <w:p w14:paraId="4653088E" w14:textId="77777777" w:rsidR="005F2268" w:rsidRDefault="005F2268" w:rsidP="005F2268">
            <w:pPr>
              <w:rPr>
                <w:lang w:val="it-IT"/>
              </w:rPr>
            </w:pPr>
            <w:r w:rsidRPr="005F2268">
              <w:rPr>
                <w:lang w:val="it-IT"/>
              </w:rPr>
              <w:t>3.1 Assunzioni comportamentali: razionalità limitata; opportunismo. 3.2 Attributi delle transazioni: Specificità delle risorse;</w:t>
            </w:r>
            <w:r w:rsidRPr="005F2268">
              <w:rPr>
                <w:lang w:val="it-IT"/>
              </w:rPr>
              <w:br/>
              <w:t>Incertezza; frequenza,</w:t>
            </w:r>
            <w:r w:rsidRPr="005F2268">
              <w:rPr>
                <w:lang w:val="it-IT"/>
              </w:rPr>
              <w:br/>
              <w:t>Complessità; Interconnectedness</w:t>
            </w:r>
          </w:p>
          <w:p w14:paraId="3C64F263" w14:textId="7A7A7121" w:rsidR="005F2268" w:rsidRPr="005F2268" w:rsidRDefault="005F2268" w:rsidP="005F2268">
            <w:pPr>
              <w:rPr>
                <w:lang w:val="it-IT"/>
              </w:rPr>
            </w:pPr>
            <w:r w:rsidRPr="005F2268">
              <w:rPr>
                <w:lang w:val="it-IT"/>
              </w:rPr>
              <w:t xml:space="preserve">3.3 Caratteristiche delle strutture di governo </w:t>
            </w:r>
          </w:p>
          <w:p w14:paraId="07B39F21" w14:textId="77777777" w:rsidR="005F2268" w:rsidRPr="005F2268" w:rsidRDefault="005F2268" w:rsidP="005F2268">
            <w:pPr>
              <w:rPr>
                <w:lang w:val="it-IT"/>
              </w:rPr>
            </w:pPr>
            <w:r w:rsidRPr="005F2268">
              <w:rPr>
                <w:lang w:val="it-IT"/>
              </w:rPr>
              <w:t>3.4 Scelta della struttura di governo: principio dell’allineamento discriminante</w:t>
            </w:r>
            <w:r w:rsidRPr="005F2268">
              <w:rPr>
                <w:lang w:val="it-IT"/>
              </w:rPr>
              <w:br/>
              <w:t xml:space="preserve">3.5 Classificazione delle strutture di governo </w:t>
            </w:r>
          </w:p>
          <w:p w14:paraId="10EC5C54" w14:textId="77777777" w:rsidR="005F2268" w:rsidRPr="005F2268" w:rsidRDefault="005F2268" w:rsidP="005F2268">
            <w:pPr>
              <w:rPr>
                <w:lang w:val="it-IT"/>
              </w:rPr>
            </w:pPr>
            <w:r w:rsidRPr="005F2268">
              <w:rPr>
                <w:lang w:val="it-IT"/>
              </w:rPr>
              <w:t xml:space="preserve">3.6 Applicazioni </w:t>
            </w:r>
          </w:p>
          <w:p w14:paraId="0A817A93" w14:textId="6737B663" w:rsidR="00660A09" w:rsidRPr="005F2268" w:rsidRDefault="00660A09" w:rsidP="005F2268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6F9ECC25" w14:textId="77777777" w:rsidR="005F2268" w:rsidRDefault="005F2268" w:rsidP="005F2268">
            <w:pPr>
              <w:pStyle w:val="NormaleWeb"/>
              <w:shd w:val="clear" w:color="auto" w:fill="FFFFFF"/>
            </w:pP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t>1. The fundamental problem: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>division of labour and contractual hazards; coordination and cooperation; levels of the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>institutional analysis.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>2. Institutional environment: institutions as rules of the game: organizations and institutions.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>3. The model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>3.1 Behavioural assumptions: bounded rationality; opportunism.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>3.2 Attributes of the transactions: asset specificità;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>Uncertainty; Freqeuncy; Complexity; Interconnectedness.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>3.3 Characteristics of the governante modes</w:t>
            </w:r>
            <w:r w:rsidRPr="005F2268">
              <w:rPr>
                <w:rFonts w:ascii="Cambria" w:hAnsi="Cambria"/>
                <w:sz w:val="22"/>
                <w:szCs w:val="22"/>
                <w:lang w:val="en-US"/>
              </w:rPr>
              <w:br/>
              <w:t xml:space="preserve">3.4 The choice of the governante mode: principle of the discriminat alignment. </w:t>
            </w:r>
            <w:r>
              <w:rPr>
                <w:rFonts w:ascii="Cambria" w:hAnsi="Cambria"/>
                <w:sz w:val="22"/>
                <w:szCs w:val="22"/>
              </w:rPr>
              <w:t>3.5 Classification of the governante modes.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3.6 Applications </w:t>
            </w:r>
          </w:p>
          <w:p w14:paraId="163A219E" w14:textId="7A7C1C4E" w:rsidR="00BE18BD" w:rsidRPr="00E27EA9" w:rsidRDefault="00BE18BD" w:rsidP="005F2268"/>
        </w:tc>
      </w:tr>
      <w:tr w:rsidR="005F2268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5F2268" w:rsidRDefault="005F2268" w:rsidP="005F226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597C5DC0" w14:textId="77777777" w:rsidR="005F2268" w:rsidRDefault="005F2268" w:rsidP="005F226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132580B8" w14:textId="77777777" w:rsidR="005F2268" w:rsidRDefault="005F2268" w:rsidP="005F226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20C7D0E3" w:rsidR="005F2268" w:rsidRPr="004257F2" w:rsidRDefault="005F2268" w:rsidP="005F226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5E101FD7" w14:textId="77777777" w:rsidR="005F2268" w:rsidRPr="004257F2" w:rsidRDefault="005F2268" w:rsidP="005F226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2BA257CB" w14:textId="77777777" w:rsidR="005F2268" w:rsidRPr="004257F2" w:rsidRDefault="005F2268" w:rsidP="005F226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0E0ED4AD" w:rsidR="005F2268" w:rsidRPr="005F2268" w:rsidRDefault="005F2268" w:rsidP="005F2268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2F15B729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5F2268">
              <w:rPr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495B9074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5F2268">
              <w:rPr>
                <w:b/>
              </w:rPr>
              <w:t>2</w:t>
            </w:r>
          </w:p>
        </w:tc>
      </w:tr>
      <w:tr w:rsidR="009F1D1F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9F1D1F" w:rsidRDefault="009F1D1F" w:rsidP="009F1D1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Mese/Month*</w:t>
            </w:r>
          </w:p>
        </w:tc>
        <w:tc>
          <w:tcPr>
            <w:tcW w:w="3685" w:type="dxa"/>
            <w:vAlign w:val="center"/>
          </w:tcPr>
          <w:p w14:paraId="70640617" w14:textId="27C0442F" w:rsidR="009F1D1F" w:rsidRDefault="009F1D1F" w:rsidP="009F1D1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Gennaio/Febbraio</w:t>
            </w:r>
          </w:p>
        </w:tc>
        <w:tc>
          <w:tcPr>
            <w:tcW w:w="3686" w:type="dxa"/>
            <w:vAlign w:val="center"/>
          </w:tcPr>
          <w:p w14:paraId="484A8A14" w14:textId="44019904" w:rsidR="009F1D1F" w:rsidRPr="00A348A4" w:rsidRDefault="009F1D1F" w:rsidP="009F1D1F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January/February</w:t>
            </w:r>
          </w:p>
        </w:tc>
      </w:tr>
      <w:tr w:rsidR="009F1D1F" w:rsidRPr="00515C81" w14:paraId="13E4E09D" w14:textId="77777777" w:rsidTr="004930C5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9F1D1F" w:rsidRDefault="009F1D1F" w:rsidP="009F1D1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Curriculum</w:t>
            </w:r>
          </w:p>
        </w:tc>
        <w:tc>
          <w:tcPr>
            <w:tcW w:w="3685" w:type="dxa"/>
          </w:tcPr>
          <w:p w14:paraId="3B2167ED" w14:textId="77777777" w:rsidR="009F1D1F" w:rsidRDefault="009F1D1F" w:rsidP="009F1D1F">
            <w:pPr>
              <w:jc w:val="both"/>
              <w:rPr>
                <w:lang w:val="it-IT"/>
              </w:rPr>
            </w:pPr>
          </w:p>
          <w:p w14:paraId="27C7839B" w14:textId="5804619B" w:rsidR="009F1D1F" w:rsidRPr="00F952A6" w:rsidRDefault="009F1D1F" w:rsidP="009F1D1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E&amp;I</w:t>
            </w:r>
          </w:p>
        </w:tc>
        <w:tc>
          <w:tcPr>
            <w:tcW w:w="3686" w:type="dxa"/>
          </w:tcPr>
          <w:p w14:paraId="7FDCE32E" w14:textId="77777777" w:rsidR="009F1D1F" w:rsidRDefault="009F1D1F" w:rsidP="009F1D1F">
            <w:pPr>
              <w:ind w:right="176"/>
              <w:jc w:val="both"/>
            </w:pPr>
          </w:p>
          <w:p w14:paraId="2C1099B1" w14:textId="3AD105EB" w:rsidR="009F1D1F" w:rsidRPr="00A348A4" w:rsidRDefault="009F1D1F" w:rsidP="009F1D1F">
            <w:pPr>
              <w:ind w:right="176"/>
              <w:jc w:val="both"/>
            </w:pPr>
            <w:r w:rsidRPr="00A348A4">
              <w:t>-</w:t>
            </w:r>
            <w:r>
              <w:t xml:space="preserve"> </w:t>
            </w:r>
            <w:r>
              <w:rPr>
                <w:lang w:val="it-IT"/>
              </w:rPr>
              <w:t>E</w:t>
            </w:r>
            <w:r>
              <w:rPr>
                <w:lang w:val="it-IT"/>
              </w:rPr>
              <w:t>&amp;I</w:t>
            </w:r>
          </w:p>
        </w:tc>
      </w:tr>
      <w:tr w:rsidR="00CB5E6F" w:rsidRPr="00B742B6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705AF554" w14:textId="77777777" w:rsidR="009F1D1F" w:rsidRDefault="009F1D1F" w:rsidP="009F1D1F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>Mènard C., 2012. Hybrid</w:t>
            </w:r>
            <w:r>
              <w:rPr>
                <w:rFonts w:ascii="Cambria" w:hAnsi="Cambria"/>
                <w:sz w:val="22"/>
                <w:szCs w:val="22"/>
              </w:rPr>
              <w:br/>
              <w:t>organziations. Alliances, Joint strange’ animals. in Gibbons R. &amp;</w:t>
            </w:r>
            <w:r>
              <w:rPr>
                <w:rFonts w:ascii="Cambria" w:hAnsi="Cambria"/>
                <w:sz w:val="22"/>
                <w:szCs w:val="22"/>
              </w:rPr>
              <w:br/>
              <w:t>Roberst J. (eds.), Handbook of Organizational Economics, Princeton, Princeton University Press Williamson, O. E. 1991. Comparative economic organization: The analysis</w:t>
            </w:r>
            <w:r>
              <w:rPr>
                <w:rFonts w:ascii="Cambria" w:hAnsi="Cambria"/>
                <w:sz w:val="22"/>
                <w:szCs w:val="22"/>
              </w:rPr>
              <w:br/>
              <w:t>of discrete structural alternatives. Administrative Science Quarterly, 36: 259-296.</w:t>
            </w:r>
            <w:r>
              <w:rPr>
                <w:rFonts w:ascii="Cambria" w:hAnsi="Cambria"/>
                <w:sz w:val="22"/>
                <w:szCs w:val="22"/>
              </w:rPr>
              <w:br/>
              <w:t>Williamson, O. E. 2005. The</w:t>
            </w:r>
            <w:r>
              <w:rPr>
                <w:rFonts w:ascii="Cambria" w:hAnsi="Cambria"/>
                <w:sz w:val="22"/>
                <w:szCs w:val="22"/>
              </w:rPr>
              <w:br/>
              <w:t>economics of governance. American Economic Review, 95: 1-18.</w:t>
            </w:r>
            <w:r>
              <w:rPr>
                <w:rFonts w:ascii="Cambria" w:hAnsi="Cambria"/>
                <w:sz w:val="22"/>
                <w:szCs w:val="22"/>
              </w:rPr>
              <w:br/>
              <w:t>Bavorova M., Hirschauer N., Martino G., 2012. An analytical framework for</w:t>
            </w:r>
            <w:r>
              <w:rPr>
                <w:rFonts w:ascii="Cambria" w:hAnsi="Cambria"/>
                <w:sz w:val="22"/>
                <w:szCs w:val="22"/>
              </w:rPr>
              <w:br/>
              <w:t>a behavioural analysis of noncompliance</w:t>
            </w:r>
            <w:r>
              <w:rPr>
                <w:rFonts w:ascii="Cambria" w:hAnsi="Cambria"/>
                <w:sz w:val="22"/>
                <w:szCs w:val="22"/>
              </w:rPr>
              <w:br/>
              <w:t>in food supply chains,</w:t>
            </w:r>
            <w:r>
              <w:rPr>
                <w:rFonts w:ascii="Cambria" w:hAnsi="Cambria"/>
                <w:sz w:val="22"/>
                <w:szCs w:val="22"/>
              </w:rPr>
              <w:br/>
              <w:t>British Food Journal , 112, 9 .</w:t>
            </w:r>
            <w:r>
              <w:rPr>
                <w:rFonts w:ascii="Cambria" w:hAnsi="Cambria"/>
                <w:sz w:val="22"/>
                <w:szCs w:val="22"/>
              </w:rPr>
              <w:br/>
              <w:t>Martino G., Polinori P., 2011.Networks and organizational learning: Evidences from broilers production British Food Journal 113, 6-7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Martino G., Perugini P., 2006. Hybrid Forms in Food Safety Supply, in Bijman J., Omta O., Trienekes J., Wijnands J., Wubben E., (eds.), International Agri-food Chains and Networks: Management and Organizations , Wageningen Academic Publisher, Wageningen, pp. 287-301 Martino G., (2010), Trust, Contracting and Adaptation in Agri-Food Hybrid Structures, International Journal on Food System Dynamics , 1, 4 </w:t>
            </w:r>
          </w:p>
          <w:p w14:paraId="684F7BE0" w14:textId="0B9CC92A" w:rsidR="003B6F50" w:rsidRPr="003B6F50" w:rsidRDefault="003B6F50" w:rsidP="003B6F50">
            <w:pPr>
              <w:spacing w:before="120"/>
            </w:pP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6E39AE86" w14:textId="77777777" w:rsidR="009F1D1F" w:rsidRDefault="009F1D1F" w:rsidP="009F1D1F">
            <w:pPr>
              <w:pStyle w:val="NormaleWeb"/>
              <w:shd w:val="clear" w:color="auto" w:fill="FFFFFF"/>
            </w:pPr>
            <w:r w:rsidRPr="009F1D1F">
              <w:rPr>
                <w:rFonts w:ascii="Cambria" w:hAnsi="Cambria"/>
                <w:sz w:val="22"/>
                <w:szCs w:val="22"/>
                <w:lang w:val="en-US"/>
              </w:rPr>
              <w:t>Mènard C., 2012. Hybrid</w:t>
            </w:r>
            <w:r w:rsidRPr="009F1D1F">
              <w:rPr>
                <w:rFonts w:ascii="Cambria" w:hAnsi="Cambria"/>
                <w:sz w:val="22"/>
                <w:szCs w:val="22"/>
                <w:lang w:val="en-US"/>
              </w:rPr>
              <w:br/>
              <w:t>organziations. Alliances, Joint strange’ animals. in Gibbons R. &amp;</w:t>
            </w:r>
            <w:r w:rsidRPr="009F1D1F">
              <w:rPr>
                <w:rFonts w:ascii="Cambria" w:hAnsi="Cambria"/>
                <w:sz w:val="22"/>
                <w:szCs w:val="22"/>
                <w:lang w:val="en-US"/>
              </w:rPr>
              <w:br/>
              <w:t xml:space="preserve">Roberst J. (eds.), Handbook of Organizational Economics, Princeton, Princeton University Press Williamson, O. E. 1991. </w:t>
            </w:r>
            <w:r>
              <w:rPr>
                <w:rFonts w:ascii="Cambria" w:hAnsi="Cambria"/>
                <w:sz w:val="22"/>
                <w:szCs w:val="22"/>
              </w:rPr>
              <w:t>Comparative economic organization: The analysis</w:t>
            </w:r>
            <w:r>
              <w:rPr>
                <w:rFonts w:ascii="Cambria" w:hAnsi="Cambria"/>
                <w:sz w:val="22"/>
                <w:szCs w:val="22"/>
              </w:rPr>
              <w:br/>
              <w:t>of discrete structural alternatives. Administrative Science Quarterly, 36: 259-296.</w:t>
            </w:r>
            <w:r>
              <w:rPr>
                <w:rFonts w:ascii="Cambria" w:hAnsi="Cambria"/>
                <w:sz w:val="22"/>
                <w:szCs w:val="22"/>
              </w:rPr>
              <w:br/>
              <w:t>Williamson, O. E. 2005. The</w:t>
            </w:r>
            <w:r>
              <w:rPr>
                <w:rFonts w:ascii="Cambria" w:hAnsi="Cambria"/>
                <w:sz w:val="22"/>
                <w:szCs w:val="22"/>
              </w:rPr>
              <w:br/>
              <w:t>economics of governance. American Economic Review, 95: 1-18.</w:t>
            </w:r>
            <w:r>
              <w:rPr>
                <w:rFonts w:ascii="Cambria" w:hAnsi="Cambria"/>
                <w:sz w:val="22"/>
                <w:szCs w:val="22"/>
              </w:rPr>
              <w:br/>
              <w:t>Bavorova M., Hirschauer N., Martino G., 2012. An analytical framework for</w:t>
            </w:r>
            <w:r>
              <w:rPr>
                <w:rFonts w:ascii="Cambria" w:hAnsi="Cambria"/>
                <w:sz w:val="22"/>
                <w:szCs w:val="22"/>
              </w:rPr>
              <w:br/>
              <w:t>a behavioural analysis of noncompliance</w:t>
            </w:r>
            <w:r>
              <w:rPr>
                <w:rFonts w:ascii="Cambria" w:hAnsi="Cambria"/>
                <w:sz w:val="22"/>
                <w:szCs w:val="22"/>
              </w:rPr>
              <w:br/>
              <w:t>in food supply chains,</w:t>
            </w:r>
            <w:r>
              <w:rPr>
                <w:rFonts w:ascii="Cambria" w:hAnsi="Cambria"/>
                <w:sz w:val="22"/>
                <w:szCs w:val="22"/>
              </w:rPr>
              <w:br/>
              <w:t>British Food Journal , 112, 9 .</w:t>
            </w:r>
            <w:r>
              <w:rPr>
                <w:rFonts w:ascii="Cambria" w:hAnsi="Cambria"/>
                <w:sz w:val="22"/>
                <w:szCs w:val="22"/>
              </w:rPr>
              <w:br/>
              <w:t>Martino G., Polinori P., 2011.Networks and organizational learning: Evidences from broilers production British Food Journal 113, 6-7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Martino G., Perugini P., 2006. Hybrid Forms in Food Safety Supply, in Bijman J., Omta O., Trienekes J., Wijnands J., Wubben E., (eds.), International Agri-food Chains and Networks: Management and Organizations , Wageningen Academic Publisher, Wageningen, pp. 287-301 Martino G., (2010), Trust, Contracting and Adaptation in Agri-Food Hybrid Structures, International Journal on Food System Dynamics , 1, 4 </w:t>
            </w:r>
          </w:p>
          <w:p w14:paraId="26EE5693" w14:textId="18DE1079" w:rsidR="003B6F50" w:rsidRPr="00743B66" w:rsidRDefault="003B6F50" w:rsidP="003B6F50">
            <w:pPr>
              <w:spacing w:before="120"/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5F2268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E6C3F"/>
    <w:rsid w:val="007F663F"/>
    <w:rsid w:val="00811FAF"/>
    <w:rsid w:val="008226B4"/>
    <w:rsid w:val="00834460"/>
    <w:rsid w:val="00864336"/>
    <w:rsid w:val="008657D7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1D1F"/>
    <w:rsid w:val="009F3237"/>
    <w:rsid w:val="009F4E15"/>
    <w:rsid w:val="00A05E2C"/>
    <w:rsid w:val="00A348A4"/>
    <w:rsid w:val="00A34F21"/>
    <w:rsid w:val="00A4771E"/>
    <w:rsid w:val="00A715DB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F22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8</cp:revision>
  <dcterms:created xsi:type="dcterms:W3CDTF">2020-05-08T09:48:00Z</dcterms:created>
  <dcterms:modified xsi:type="dcterms:W3CDTF">2020-05-12T14:57:00Z</dcterms:modified>
</cp:coreProperties>
</file>